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5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7830"/>
        <w:gridCol w:w="1530"/>
      </w:tblGrid>
      <w:tr w:rsidR="00BE3647" w:rsidRPr="00346235" w14:paraId="173299D5" w14:textId="77777777" w:rsidTr="00847AE5">
        <w:trPr>
          <w:trHeight w:val="180"/>
        </w:trPr>
        <w:tc>
          <w:tcPr>
            <w:tcW w:w="990" w:type="dxa"/>
            <w:shd w:val="clear" w:color="auto" w:fill="D9D9D9"/>
          </w:tcPr>
          <w:p w14:paraId="45F7D0DE" w14:textId="77777777" w:rsidR="00BE3647" w:rsidRPr="00346235" w:rsidRDefault="00BE3647" w:rsidP="00847AE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30" w:type="dxa"/>
            <w:shd w:val="clear" w:color="auto" w:fill="D9D9D9"/>
          </w:tcPr>
          <w:p w14:paraId="4F14B395" w14:textId="77777777" w:rsidR="00BE3647" w:rsidRPr="00346235" w:rsidRDefault="00BE3647" w:rsidP="00847AE5">
            <w:pPr>
              <w:rPr>
                <w:b/>
                <w:sz w:val="24"/>
                <w:szCs w:val="24"/>
              </w:rPr>
            </w:pPr>
            <w:r w:rsidRPr="00346235">
              <w:rPr>
                <w:b/>
                <w:sz w:val="24"/>
                <w:szCs w:val="24"/>
              </w:rPr>
              <w:t xml:space="preserve">Gender Equity   </w:t>
            </w:r>
          </w:p>
          <w:p w14:paraId="683A3A49" w14:textId="77777777" w:rsidR="00BE3647" w:rsidRPr="00346235" w:rsidRDefault="00BE3647" w:rsidP="00847AE5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D9D9D9"/>
          </w:tcPr>
          <w:p w14:paraId="1CDAF696" w14:textId="77777777" w:rsidR="00BE3647" w:rsidRPr="00346235" w:rsidRDefault="00BE3647" w:rsidP="00847AE5">
            <w:pPr>
              <w:rPr>
                <w:bCs/>
                <w:sz w:val="24"/>
                <w:szCs w:val="24"/>
              </w:rPr>
            </w:pPr>
          </w:p>
        </w:tc>
      </w:tr>
      <w:tr w:rsidR="00BE3647" w:rsidRPr="00346235" w14:paraId="0A5A197F" w14:textId="77777777" w:rsidTr="00847AE5">
        <w:trPr>
          <w:trHeight w:val="2060"/>
        </w:trPr>
        <w:tc>
          <w:tcPr>
            <w:tcW w:w="990" w:type="dxa"/>
          </w:tcPr>
          <w:p w14:paraId="0B4442D8" w14:textId="77777777" w:rsidR="00BE3647" w:rsidRPr="00346235" w:rsidRDefault="00BE3647" w:rsidP="00847AE5">
            <w:pPr>
              <w:jc w:val="center"/>
              <w:rPr>
                <w:b/>
                <w:bCs/>
                <w:sz w:val="24"/>
                <w:szCs w:val="24"/>
              </w:rPr>
            </w:pPr>
            <w:r w:rsidRPr="00346235">
              <w:rPr>
                <w:b/>
                <w:bCs/>
                <w:sz w:val="24"/>
                <w:szCs w:val="24"/>
              </w:rPr>
              <w:t>7.1.1</w:t>
            </w:r>
          </w:p>
          <w:p w14:paraId="54C5105D" w14:textId="77777777" w:rsidR="00BE3647" w:rsidRPr="00346235" w:rsidRDefault="00BE3647" w:rsidP="00847AE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711ACF5" w14:textId="77777777" w:rsidR="00BE3647" w:rsidRPr="00346235" w:rsidRDefault="00BE3647" w:rsidP="00847AE5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346235">
              <w:rPr>
                <w:b/>
                <w:bCs/>
                <w:sz w:val="24"/>
                <w:szCs w:val="24"/>
              </w:rPr>
              <w:t>Q</w:t>
            </w:r>
            <w:r w:rsidRPr="00346235">
              <w:rPr>
                <w:b/>
                <w:bCs/>
                <w:sz w:val="24"/>
                <w:szCs w:val="18"/>
                <w:vertAlign w:val="subscript"/>
              </w:rPr>
              <w:t>l</w:t>
            </w:r>
            <w:r w:rsidRPr="00346235">
              <w:rPr>
                <w:b/>
                <w:bCs/>
                <w:sz w:val="24"/>
                <w:szCs w:val="24"/>
              </w:rPr>
              <w:t>M</w:t>
            </w:r>
            <w:proofErr w:type="spellEnd"/>
          </w:p>
        </w:tc>
        <w:tc>
          <w:tcPr>
            <w:tcW w:w="7830" w:type="dxa"/>
          </w:tcPr>
          <w:p w14:paraId="6C24FF6E" w14:textId="77777777" w:rsidR="00BE3647" w:rsidRPr="00346235" w:rsidRDefault="00BE3647" w:rsidP="00847AE5">
            <w:pPr>
              <w:rPr>
                <w:b/>
                <w:i/>
                <w:sz w:val="24"/>
                <w:szCs w:val="24"/>
              </w:rPr>
            </w:pPr>
            <w:r w:rsidRPr="00346235">
              <w:rPr>
                <w:b/>
                <w:i/>
                <w:sz w:val="24"/>
                <w:szCs w:val="24"/>
              </w:rPr>
              <w:t>Measures initiated by the Institution for the promotion of gender equity during the last five years.</w:t>
            </w:r>
          </w:p>
          <w:p w14:paraId="6268034A" w14:textId="77777777" w:rsidR="00BE3647" w:rsidRPr="00346235" w:rsidRDefault="00BE3647" w:rsidP="00847AE5">
            <w:pPr>
              <w:rPr>
                <w:b/>
                <w:i/>
                <w:sz w:val="24"/>
                <w:szCs w:val="24"/>
              </w:rPr>
            </w:pPr>
          </w:p>
          <w:p w14:paraId="4B53101D" w14:textId="77777777" w:rsidR="00BE3647" w:rsidRPr="00C91058" w:rsidRDefault="00BE3647" w:rsidP="00847AE5">
            <w:pPr>
              <w:pStyle w:val="ListParagraph"/>
              <w:spacing w:after="0"/>
              <w:ind w:left="1729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14:paraId="4C9E0765" w14:textId="77777777" w:rsidR="00BE3647" w:rsidRDefault="00BE3647" w:rsidP="00847AE5">
            <w:pPr>
              <w:jc w:val="both"/>
              <w:rPr>
                <w:sz w:val="24"/>
                <w:szCs w:val="24"/>
              </w:rPr>
            </w:pPr>
            <w:r w:rsidRPr="00B92D50">
              <w:rPr>
                <w:sz w:val="24"/>
                <w:szCs w:val="24"/>
              </w:rPr>
              <w:t>Madan Mohan Malaviya</w:t>
            </w:r>
            <w:r>
              <w:rPr>
                <w:sz w:val="24"/>
                <w:szCs w:val="24"/>
              </w:rPr>
              <w:t xml:space="preserve"> U</w:t>
            </w:r>
            <w:r w:rsidRPr="00B92D50">
              <w:rPr>
                <w:sz w:val="24"/>
                <w:szCs w:val="24"/>
              </w:rPr>
              <w:t>niversity of Technology is</w:t>
            </w:r>
            <w:r>
              <w:rPr>
                <w:sz w:val="24"/>
                <w:szCs w:val="24"/>
              </w:rPr>
              <w:t xml:space="preserve"> one of the premier </w:t>
            </w:r>
            <w:r w:rsidRPr="00B92D50">
              <w:rPr>
                <w:sz w:val="24"/>
                <w:szCs w:val="24"/>
              </w:rPr>
              <w:t xml:space="preserve">institutions which organize a lot </w:t>
            </w:r>
            <w:r>
              <w:rPr>
                <w:sz w:val="24"/>
                <w:szCs w:val="24"/>
              </w:rPr>
              <w:t xml:space="preserve">of gender equity </w:t>
            </w:r>
            <w:proofErr w:type="spellStart"/>
            <w:r>
              <w:rPr>
                <w:sz w:val="24"/>
                <w:szCs w:val="24"/>
              </w:rPr>
              <w:t>programmes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B92D50">
              <w:rPr>
                <w:sz w:val="24"/>
                <w:szCs w:val="24"/>
              </w:rPr>
              <w:t xml:space="preserve">  in which equal opportunity is given to both genders to participate in various events. Various cultural and other extracurricular activities are conducted in the campus where girls and boys are participating </w:t>
            </w:r>
            <w:proofErr w:type="gramStart"/>
            <w:r w:rsidRPr="00B92D50">
              <w:rPr>
                <w:sz w:val="24"/>
                <w:szCs w:val="24"/>
              </w:rPr>
              <w:t>equally</w:t>
            </w:r>
            <w:proofErr w:type="gramEnd"/>
            <w:r w:rsidRPr="00B92D50">
              <w:rPr>
                <w:sz w:val="24"/>
                <w:szCs w:val="24"/>
              </w:rPr>
              <w:t xml:space="preserve"> and</w:t>
            </w:r>
            <w:r>
              <w:rPr>
                <w:sz w:val="24"/>
                <w:szCs w:val="24"/>
              </w:rPr>
              <w:t xml:space="preserve"> all</w:t>
            </w:r>
            <w:r w:rsidRPr="00B92D5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the events are </w:t>
            </w:r>
            <w:r w:rsidRPr="00B92D50">
              <w:rPr>
                <w:sz w:val="24"/>
                <w:szCs w:val="24"/>
              </w:rPr>
              <w:t xml:space="preserve">organized by both genders. </w:t>
            </w:r>
          </w:p>
          <w:p w14:paraId="658E85E1" w14:textId="77777777" w:rsidR="00BE3647" w:rsidRPr="00DC79C4" w:rsidRDefault="00BE3647" w:rsidP="00847A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University has facilitated 20% horizontal reservation for girl candidates, who apply for admission in this institute </w:t>
            </w:r>
            <w:proofErr w:type="gramStart"/>
            <w:r>
              <w:rPr>
                <w:sz w:val="24"/>
                <w:szCs w:val="24"/>
              </w:rPr>
              <w:t>and also</w:t>
            </w:r>
            <w:proofErr w:type="gramEnd"/>
            <w:r>
              <w:rPr>
                <w:sz w:val="24"/>
                <w:szCs w:val="24"/>
              </w:rPr>
              <w:t xml:space="preserve"> charges only 50% registration fee for appearing in admission test. </w:t>
            </w:r>
            <w:r w:rsidRPr="00DC79C4">
              <w:rPr>
                <w:sz w:val="24"/>
                <w:szCs w:val="24"/>
              </w:rPr>
              <w:t xml:space="preserve">The campus has various facilities for the requirements of residential students like cafeteria, round the clock Internet facility in all hostel rooms, sports facilities (indoor &amp; outdoor), gyms, laundry, library, medical dispensary, auditorium, </w:t>
            </w:r>
            <w:r>
              <w:rPr>
                <w:sz w:val="24"/>
                <w:szCs w:val="24"/>
              </w:rPr>
              <w:t>p</w:t>
            </w:r>
            <w:r w:rsidRPr="00DC79C4">
              <w:rPr>
                <w:sz w:val="24"/>
                <w:szCs w:val="24"/>
              </w:rPr>
              <w:t>ark</w:t>
            </w:r>
            <w:r>
              <w:rPr>
                <w:sz w:val="24"/>
                <w:szCs w:val="24"/>
              </w:rPr>
              <w:t>s</w:t>
            </w:r>
            <w:r w:rsidRPr="00DC79C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conveyance facilities, b</w:t>
            </w:r>
            <w:r w:rsidRPr="00DC79C4">
              <w:rPr>
                <w:sz w:val="24"/>
                <w:szCs w:val="24"/>
              </w:rPr>
              <w:t>ank with an ATM</w:t>
            </w:r>
            <w:r>
              <w:rPr>
                <w:sz w:val="24"/>
                <w:szCs w:val="24"/>
              </w:rPr>
              <w:t>.</w:t>
            </w:r>
          </w:p>
          <w:p w14:paraId="27B300ED" w14:textId="77777777" w:rsidR="00BE3647" w:rsidRPr="00576F2E" w:rsidRDefault="00BE3647" w:rsidP="00BE3647">
            <w:pPr>
              <w:pStyle w:val="ListParagraph"/>
              <w:numPr>
                <w:ilvl w:val="0"/>
                <w:numId w:val="3"/>
              </w:numPr>
              <w:spacing w:before="240"/>
              <w:rPr>
                <w:rFonts w:ascii="Times New Roman" w:hAnsi="Times New Roman"/>
                <w:b/>
                <w:sz w:val="24"/>
                <w:szCs w:val="24"/>
              </w:rPr>
            </w:pPr>
            <w:r w:rsidRPr="00576F2E">
              <w:rPr>
                <w:rFonts w:ascii="Times New Roman" w:hAnsi="Times New Roman"/>
                <w:b/>
                <w:sz w:val="24"/>
                <w:szCs w:val="24"/>
              </w:rPr>
              <w:t>Safety and Security</w:t>
            </w:r>
          </w:p>
          <w:p w14:paraId="19374510" w14:textId="77777777" w:rsidR="00BE3647" w:rsidRPr="00B92D50" w:rsidRDefault="00BE3647" w:rsidP="00847AE5">
            <w:pPr>
              <w:ind w:left="360"/>
              <w:rPr>
                <w:sz w:val="24"/>
                <w:szCs w:val="24"/>
              </w:rPr>
            </w:pPr>
            <w:r w:rsidRPr="00B92D50">
              <w:rPr>
                <w:sz w:val="24"/>
                <w:szCs w:val="24"/>
              </w:rPr>
              <w:t>The institute has taken the following safety and security measures</w:t>
            </w:r>
          </w:p>
          <w:p w14:paraId="78613CCB" w14:textId="77777777" w:rsidR="00BE3647" w:rsidRPr="00A76BD2" w:rsidRDefault="00BE3647" w:rsidP="00BE364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A77">
              <w:rPr>
                <w:rFonts w:ascii="Times New Roman" w:hAnsi="Times New Roman"/>
                <w:sz w:val="24"/>
                <w:szCs w:val="24"/>
              </w:rPr>
              <w:t>Security guard at the main gate allows the persons only if they had a proper ID proof and reason</w:t>
            </w:r>
            <w:r w:rsidRPr="00A76BD2">
              <w:rPr>
                <w:rFonts w:ascii="Times New Roman" w:hAnsi="Times New Roman"/>
                <w:sz w:val="24"/>
                <w:szCs w:val="24"/>
              </w:rPr>
              <w:t xml:space="preserve">. In addition to the strict security at the main gate and the security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vigilance with </w:t>
            </w:r>
            <w:r w:rsidRPr="00A76BD2">
              <w:rPr>
                <w:rFonts w:ascii="Times New Roman" w:hAnsi="Times New Roman"/>
                <w:sz w:val="24"/>
                <w:szCs w:val="24"/>
              </w:rPr>
              <w:t xml:space="preserve">CCTVs </w:t>
            </w:r>
            <w:r>
              <w:rPr>
                <w:rFonts w:ascii="Times New Roman" w:hAnsi="Times New Roman"/>
                <w:sz w:val="24"/>
                <w:szCs w:val="24"/>
              </w:rPr>
              <w:t>at prime locations of</w:t>
            </w:r>
            <w:r w:rsidRPr="00A76BD2">
              <w:rPr>
                <w:rFonts w:ascii="Times New Roman" w:hAnsi="Times New Roman"/>
                <w:sz w:val="24"/>
                <w:szCs w:val="24"/>
              </w:rPr>
              <w:t xml:space="preserve"> the whole campus, the girl hostel is provided 24 </w:t>
            </w:r>
            <w:proofErr w:type="spellStart"/>
            <w:r w:rsidRPr="00A76BD2">
              <w:rPr>
                <w:rFonts w:ascii="Times New Roman" w:hAnsi="Times New Roman"/>
                <w:sz w:val="24"/>
                <w:szCs w:val="24"/>
              </w:rPr>
              <w:t>hrs</w:t>
            </w:r>
            <w:proofErr w:type="spellEnd"/>
            <w:r w:rsidRPr="00A76BD2">
              <w:rPr>
                <w:rFonts w:ascii="Times New Roman" w:hAnsi="Times New Roman"/>
                <w:sz w:val="24"/>
                <w:szCs w:val="24"/>
              </w:rPr>
              <w:t xml:space="preserve"> security guard separately hence the girl’s students are highly secured under the existing security system.</w:t>
            </w:r>
          </w:p>
          <w:p w14:paraId="45662A9C" w14:textId="77777777" w:rsidR="00BE3647" w:rsidRPr="00B92D50" w:rsidRDefault="00BE3647" w:rsidP="00BE364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D50">
              <w:rPr>
                <w:rFonts w:ascii="Times New Roman" w:hAnsi="Times New Roman"/>
                <w:sz w:val="24"/>
                <w:szCs w:val="24"/>
              </w:rPr>
              <w:t>Squad system has been introduced in the university. Squad headed by senior faculty member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to</w:t>
            </w:r>
            <w:r w:rsidRPr="00B92D50">
              <w:rPr>
                <w:rFonts w:ascii="Times New Roman" w:hAnsi="Times New Roman"/>
                <w:sz w:val="24"/>
                <w:szCs w:val="24"/>
              </w:rPr>
              <w:t xml:space="preserve"> monitors the co</w:t>
            </w:r>
            <w:r>
              <w:rPr>
                <w:rFonts w:ascii="Times New Roman" w:hAnsi="Times New Roman"/>
                <w:sz w:val="24"/>
                <w:szCs w:val="24"/>
              </w:rPr>
              <w:t>rridors, classrooms, canteens, laboratories, h</w:t>
            </w:r>
            <w:r w:rsidRPr="00B92D50">
              <w:rPr>
                <w:rFonts w:ascii="Times New Roman" w:hAnsi="Times New Roman"/>
                <w:sz w:val="24"/>
                <w:szCs w:val="24"/>
              </w:rPr>
              <w:t xml:space="preserve">ostels, </w:t>
            </w:r>
            <w:r>
              <w:rPr>
                <w:rFonts w:ascii="Times New Roman" w:hAnsi="Times New Roman"/>
                <w:sz w:val="24"/>
                <w:szCs w:val="24"/>
              </w:rPr>
              <w:t>l</w:t>
            </w:r>
            <w:r w:rsidRPr="00B92D50">
              <w:rPr>
                <w:rFonts w:ascii="Times New Roman" w:hAnsi="Times New Roman"/>
                <w:sz w:val="24"/>
                <w:szCs w:val="24"/>
              </w:rPr>
              <w:t>ibrary, etc.</w:t>
            </w:r>
          </w:p>
          <w:p w14:paraId="7B7D8E0A" w14:textId="77777777" w:rsidR="00BE3647" w:rsidRPr="00B92D50" w:rsidRDefault="00BE3647" w:rsidP="00BE364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B92D50">
              <w:rPr>
                <w:rFonts w:ascii="Times New Roman" w:hAnsi="Times New Roman"/>
                <w:sz w:val="24"/>
                <w:szCs w:val="24"/>
              </w:rPr>
              <w:t>Sepa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rate hostels, badminton courts and a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Gym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are available for girls in the university campus.</w:t>
            </w:r>
          </w:p>
          <w:p w14:paraId="1ABF2101" w14:textId="77777777" w:rsidR="00BE3647" w:rsidRPr="00B92D50" w:rsidRDefault="00BE3647" w:rsidP="00BE364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Women cell is established to conduct various activities for overall development of girl students.</w:t>
            </w:r>
          </w:p>
          <w:p w14:paraId="3161D125" w14:textId="77777777" w:rsidR="00BE3647" w:rsidRPr="00B92D50" w:rsidRDefault="00BE3647" w:rsidP="00BE364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D50">
              <w:rPr>
                <w:rFonts w:ascii="Times New Roman" w:hAnsi="Times New Roman"/>
                <w:sz w:val="24"/>
                <w:szCs w:val="24"/>
              </w:rPr>
              <w:t>Grievance cells are actively functioning which provide a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Pr="00B92D50">
              <w:rPr>
                <w:rFonts w:ascii="Times New Roman" w:hAnsi="Times New Roman"/>
                <w:sz w:val="24"/>
                <w:szCs w:val="24"/>
              </w:rPr>
              <w:t xml:space="preserve"> opportunity to the girls to voice their problems.</w:t>
            </w:r>
          </w:p>
          <w:p w14:paraId="10A1519C" w14:textId="77777777" w:rsidR="00BE3647" w:rsidRPr="004B27B5" w:rsidRDefault="00BE3647" w:rsidP="00BE364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4B27B5">
              <w:rPr>
                <w:rFonts w:ascii="Times New Roman" w:hAnsi="Times New Roman"/>
                <w:sz w:val="24"/>
                <w:szCs w:val="24"/>
              </w:rPr>
              <w:t xml:space="preserve">Hospital facility is provided for all the students, faculty, and staff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with </w:t>
            </w:r>
            <w:r w:rsidRPr="00B92D50">
              <w:rPr>
                <w:rFonts w:ascii="Times New Roman" w:hAnsi="Times New Roman"/>
                <w:sz w:val="24"/>
                <w:szCs w:val="24"/>
              </w:rPr>
              <w:t xml:space="preserve">24 </w:t>
            </w:r>
            <w:proofErr w:type="spellStart"/>
            <w:r w:rsidRPr="00B92D50">
              <w:rPr>
                <w:rFonts w:ascii="Times New Roman" w:hAnsi="Times New Roman"/>
                <w:sz w:val="24"/>
                <w:szCs w:val="24"/>
              </w:rPr>
              <w:t>hr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proofErr w:type="spellEnd"/>
            <w:r w:rsidRPr="00B92D50">
              <w:rPr>
                <w:rFonts w:ascii="Times New Roman" w:hAnsi="Times New Roman"/>
                <w:sz w:val="24"/>
                <w:szCs w:val="24"/>
              </w:rPr>
              <w:t xml:space="preserve"> availability of ambulance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7C486FF" w14:textId="77777777" w:rsidR="00BE3647" w:rsidRPr="00BA55D8" w:rsidRDefault="00BE3647" w:rsidP="00BE3647">
            <w:pPr>
              <w:pStyle w:val="ListParagraph"/>
              <w:numPr>
                <w:ilvl w:val="0"/>
                <w:numId w:val="3"/>
              </w:numPr>
              <w:spacing w:before="240" w:after="240"/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A55D8">
              <w:rPr>
                <w:rFonts w:ascii="Times New Roman" w:hAnsi="Times New Roman"/>
                <w:b/>
                <w:sz w:val="24"/>
                <w:szCs w:val="24"/>
              </w:rPr>
              <w:t>Counseling</w:t>
            </w:r>
          </w:p>
          <w:p w14:paraId="697B9663" w14:textId="77777777" w:rsidR="00BE3647" w:rsidRDefault="00BE3647" w:rsidP="00BE3647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D50">
              <w:rPr>
                <w:rFonts w:ascii="Times New Roman" w:hAnsi="Times New Roman"/>
                <w:sz w:val="24"/>
                <w:szCs w:val="24"/>
              </w:rPr>
              <w:t>Women</w:t>
            </w:r>
            <w:r w:rsidRPr="00B92D50">
              <w:rPr>
                <w:rFonts w:ascii="Times New Roman" w:hAnsi="Times New Roman"/>
                <w:sz w:val="24"/>
                <w:szCs w:val="24"/>
                <w:vertAlign w:val="superscript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</w:rPr>
              <w:t>s c</w:t>
            </w:r>
            <w:r w:rsidRPr="00B92D50">
              <w:rPr>
                <w:rFonts w:ascii="Times New Roman" w:hAnsi="Times New Roman"/>
                <w:sz w:val="24"/>
                <w:szCs w:val="24"/>
              </w:rPr>
              <w:t>ell conducts many Women</w:t>
            </w:r>
            <w:r w:rsidRPr="00B92D50">
              <w:rPr>
                <w:rFonts w:ascii="Times New Roman" w:hAnsi="Times New Roman"/>
                <w:sz w:val="24"/>
                <w:szCs w:val="24"/>
                <w:vertAlign w:val="superscript"/>
              </w:rPr>
              <w:t>’</w:t>
            </w:r>
            <w:r w:rsidRPr="00B92D50">
              <w:rPr>
                <w:rFonts w:ascii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2D50">
              <w:rPr>
                <w:rFonts w:ascii="Times New Roman" w:hAnsi="Times New Roman"/>
                <w:sz w:val="24"/>
                <w:szCs w:val="24"/>
              </w:rPr>
              <w:t>development programs to encourage and boost the confidence of the girl students.</w:t>
            </w:r>
          </w:p>
          <w:p w14:paraId="4545452E" w14:textId="77777777" w:rsidR="00BE3647" w:rsidRPr="00B92D50" w:rsidRDefault="00BE3647" w:rsidP="00BE3647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All girls’ hostels have one lady warden besides other wardens.</w:t>
            </w:r>
          </w:p>
          <w:p w14:paraId="0D7BE129" w14:textId="77777777" w:rsidR="00BE3647" w:rsidRPr="00B92D50" w:rsidRDefault="00BE3647" w:rsidP="00BE364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B92D50">
              <w:rPr>
                <w:rFonts w:ascii="Times New Roman" w:hAnsi="Times New Roman"/>
                <w:sz w:val="24"/>
                <w:szCs w:val="24"/>
              </w:rPr>
              <w:t>Students are encouraged to join NCC, NSS and participate in co-curricular and extra-curricular activities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479A780" w14:textId="77777777" w:rsidR="00BE3647" w:rsidRDefault="00BE3647" w:rsidP="00BE3647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D50">
              <w:rPr>
                <w:rFonts w:ascii="Times New Roman" w:hAnsi="Times New Roman"/>
                <w:sz w:val="24"/>
                <w:szCs w:val="24"/>
              </w:rPr>
              <w:lastRenderedPageBreak/>
              <w:t>Mentor system has been introduced. The main objective is to keep the effective monitoring and welfare of the students. This system improves the rapport between students and mentor.</w:t>
            </w:r>
          </w:p>
          <w:p w14:paraId="2A1BCFE3" w14:textId="77777777" w:rsidR="00BE3647" w:rsidRDefault="00BE3647" w:rsidP="00BE3647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16F">
              <w:rPr>
                <w:rFonts w:ascii="Times New Roman" w:hAnsi="Times New Roman"/>
                <w:sz w:val="24"/>
                <w:szCs w:val="24"/>
              </w:rPr>
              <w:t xml:space="preserve">A lady doctor with two lady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nurses </w:t>
            </w:r>
            <w:r w:rsidRPr="00F6416F">
              <w:rPr>
                <w:rFonts w:ascii="Times New Roman" w:hAnsi="Times New Roman"/>
                <w:sz w:val="24"/>
                <w:szCs w:val="24"/>
              </w:rPr>
              <w:t>meets the girl students periodically and counsels them to remove their difficulties related to personal</w:t>
            </w:r>
            <w:r>
              <w:rPr>
                <w:rFonts w:ascii="Times New Roman" w:hAnsi="Times New Roman"/>
                <w:sz w:val="24"/>
                <w:szCs w:val="24"/>
              </w:rPr>
              <w:t>, health</w:t>
            </w:r>
            <w:r w:rsidRPr="00F6416F">
              <w:rPr>
                <w:rFonts w:ascii="Times New Roman" w:hAnsi="Times New Roman"/>
                <w:sz w:val="24"/>
                <w:szCs w:val="24"/>
              </w:rPr>
              <w:t xml:space="preserve"> and other issues are </w:t>
            </w:r>
            <w:proofErr w:type="gramStart"/>
            <w:r w:rsidRPr="00F6416F">
              <w:rPr>
                <w:rFonts w:ascii="Times New Roman" w:hAnsi="Times New Roman"/>
                <w:sz w:val="24"/>
                <w:szCs w:val="24"/>
              </w:rPr>
              <w:t>discussed</w:t>
            </w:r>
            <w:proofErr w:type="gramEnd"/>
            <w:r w:rsidRPr="00F6416F">
              <w:rPr>
                <w:rFonts w:ascii="Times New Roman" w:hAnsi="Times New Roman"/>
                <w:sz w:val="24"/>
                <w:szCs w:val="24"/>
              </w:rPr>
              <w:t xml:space="preserve"> and proper guidance and support is provided to ensure the comfort of the students in the campus.</w:t>
            </w:r>
          </w:p>
          <w:p w14:paraId="08031102" w14:textId="77777777" w:rsidR="00BE3647" w:rsidRPr="006B343B" w:rsidRDefault="00BE3647" w:rsidP="00BE3647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Common R</w:t>
            </w:r>
            <w:r w:rsidRPr="006B343B">
              <w:rPr>
                <w:rFonts w:ascii="Times New Roman" w:hAnsi="Times New Roman"/>
                <w:b/>
                <w:sz w:val="24"/>
                <w:szCs w:val="24"/>
              </w:rPr>
              <w:t>oom</w:t>
            </w:r>
          </w:p>
          <w:p w14:paraId="78B02F86" w14:textId="77777777" w:rsidR="00BE3647" w:rsidRDefault="00BE3647" w:rsidP="00847AE5">
            <w:pPr>
              <w:pStyle w:val="ListParagraph"/>
              <w:spacing w:before="240"/>
              <w:ind w:left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D50"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2D50">
              <w:rPr>
                <w:rFonts w:ascii="Times New Roman" w:hAnsi="Times New Roman"/>
                <w:sz w:val="24"/>
                <w:szCs w:val="24"/>
              </w:rPr>
              <w:t xml:space="preserve">well-furnished common room is made available for girls in each hostel and the seminar rooms of all the departments are also used as a common room when the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seminar </w:t>
            </w:r>
            <w:r w:rsidRPr="00B92D50">
              <w:rPr>
                <w:rFonts w:ascii="Times New Roman" w:hAnsi="Times New Roman"/>
                <w:sz w:val="24"/>
                <w:szCs w:val="24"/>
              </w:rPr>
              <w:t>rooms are not in use.</w:t>
            </w:r>
          </w:p>
          <w:p w14:paraId="1A1C118E" w14:textId="77777777" w:rsidR="00BE3647" w:rsidRPr="005958CE" w:rsidRDefault="00BE3647" w:rsidP="00BE364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5958C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Day care </w:t>
            </w:r>
            <w:proofErr w:type="spellStart"/>
            <w:r w:rsidRPr="005958C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centre</w:t>
            </w:r>
            <w:proofErr w:type="spellEnd"/>
            <w:r w:rsidRPr="005958C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for children of the staff</w:t>
            </w:r>
          </w:p>
          <w:p w14:paraId="41DA4163" w14:textId="77777777" w:rsidR="00BE3647" w:rsidRDefault="00BE3647" w:rsidP="00847AE5">
            <w:pPr>
              <w:spacing w:before="240"/>
              <w:ind w:left="36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Pr="00987FCA">
              <w:rPr>
                <w:sz w:val="24"/>
                <w:szCs w:val="24"/>
              </w:rPr>
              <w:t xml:space="preserve"> day care facility </w:t>
            </w:r>
            <w:r>
              <w:rPr>
                <w:sz w:val="24"/>
                <w:szCs w:val="24"/>
              </w:rPr>
              <w:t xml:space="preserve">is provided to look </w:t>
            </w:r>
            <w:r w:rsidRPr="00987FCA">
              <w:rPr>
                <w:sz w:val="24"/>
                <w:szCs w:val="24"/>
              </w:rPr>
              <w:t xml:space="preserve">after the </w:t>
            </w:r>
            <w:r w:rsidRPr="00987FCA">
              <w:rPr>
                <w:bCs/>
                <w:iCs/>
                <w:sz w:val="24"/>
                <w:szCs w:val="24"/>
              </w:rPr>
              <w:t>children of the staff during working hours</w:t>
            </w:r>
            <w:r>
              <w:rPr>
                <w:bCs/>
                <w:iCs/>
                <w:sz w:val="24"/>
                <w:szCs w:val="24"/>
              </w:rPr>
              <w:t>.</w:t>
            </w:r>
          </w:p>
          <w:p w14:paraId="6D0B53C5" w14:textId="77777777" w:rsidR="00BE3647" w:rsidRDefault="00BE3647" w:rsidP="00847AE5">
            <w:pPr>
              <w:spacing w:before="120"/>
              <w:ind w:left="360" w:hanging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 no. of activities</w:t>
            </w:r>
            <w:r w:rsidRPr="00B92D50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346</w:t>
            </w:r>
          </w:p>
          <w:p w14:paraId="6699A07A" w14:textId="77777777" w:rsidR="00BE3647" w:rsidRDefault="00BE3647" w:rsidP="00847AE5">
            <w:pPr>
              <w:ind w:left="360" w:hanging="360"/>
              <w:rPr>
                <w:b/>
                <w:sz w:val="24"/>
                <w:szCs w:val="24"/>
              </w:rPr>
            </w:pPr>
          </w:p>
          <w:tbl>
            <w:tblPr>
              <w:tblW w:w="770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69"/>
              <w:gridCol w:w="990"/>
              <w:gridCol w:w="990"/>
              <w:gridCol w:w="1108"/>
              <w:gridCol w:w="990"/>
              <w:gridCol w:w="1080"/>
              <w:gridCol w:w="1080"/>
            </w:tblGrid>
            <w:tr w:rsidR="00BE3647" w14:paraId="4020F1C4" w14:textId="77777777" w:rsidTr="00847AE5">
              <w:trPr>
                <w:trHeight w:val="277"/>
                <w:jc w:val="center"/>
              </w:trPr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EAE6886" w14:textId="77777777" w:rsidR="00BE3647" w:rsidRDefault="00BE3647" w:rsidP="00847AE5">
                  <w:pPr>
                    <w:rPr>
                      <w:b/>
                      <w:bCs/>
                      <w:iCs/>
                    </w:rPr>
                  </w:pPr>
                  <w:r>
                    <w:rPr>
                      <w:b/>
                      <w:bCs/>
                      <w:iCs/>
                    </w:rPr>
                    <w:t>Session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ECAE59" w14:textId="77777777" w:rsidR="00BE3647" w:rsidRPr="00174DBE" w:rsidRDefault="00BE3647" w:rsidP="00847AE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2021-22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9E98C15" w14:textId="77777777" w:rsidR="00BE3647" w:rsidRDefault="00BE3647" w:rsidP="00847AE5">
                  <w:pPr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</w:rPr>
                    <w:t xml:space="preserve">2020-21 </w:t>
                  </w: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FAFF64A" w14:textId="77777777" w:rsidR="00BE3647" w:rsidRDefault="00BE3647" w:rsidP="00847AE5">
                  <w:pPr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</w:rPr>
                    <w:t xml:space="preserve">2019-20 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C886DF7" w14:textId="77777777" w:rsidR="00BE3647" w:rsidRDefault="00BE3647" w:rsidP="00847AE5">
                  <w:pPr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</w:rPr>
                    <w:t>2018-19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8EF8AF4" w14:textId="77777777" w:rsidR="00BE3647" w:rsidRDefault="00BE3647" w:rsidP="00847AE5">
                  <w:pPr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</w:rPr>
                    <w:t>2017-18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B26D8A" w14:textId="77777777" w:rsidR="00BE3647" w:rsidRDefault="00BE3647" w:rsidP="00847AE5">
                  <w:pPr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</w:rPr>
                    <w:t>2016-17</w:t>
                  </w:r>
                </w:p>
              </w:tc>
            </w:tr>
            <w:tr w:rsidR="00BE3647" w14:paraId="5FA61464" w14:textId="77777777" w:rsidTr="00847AE5">
              <w:trPr>
                <w:trHeight w:val="277"/>
                <w:jc w:val="center"/>
              </w:trPr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AE7D39B" w14:textId="77777777" w:rsidR="00BE3647" w:rsidRDefault="00BE3647" w:rsidP="00847AE5">
                  <w:pPr>
                    <w:jc w:val="center"/>
                    <w:rPr>
                      <w:b/>
                      <w:bCs/>
                      <w:iCs/>
                    </w:rPr>
                  </w:pPr>
                  <w:r>
                    <w:rPr>
                      <w:b/>
                      <w:bCs/>
                      <w:iCs/>
                    </w:rPr>
                    <w:t>No. of Events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ADAE43" w14:textId="77777777" w:rsidR="00BE3647" w:rsidRDefault="00BE3647" w:rsidP="00847AE5">
                  <w:pPr>
                    <w:jc w:val="center"/>
                    <w:rPr>
                      <w:b/>
                      <w:bCs/>
                      <w:iCs/>
                    </w:rPr>
                  </w:pPr>
                  <w:r>
                    <w:rPr>
                      <w:b/>
                      <w:bCs/>
                      <w:iCs/>
                    </w:rPr>
                    <w:t>70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40308B9" w14:textId="77777777" w:rsidR="00BE3647" w:rsidRDefault="00BE3647" w:rsidP="00847AE5">
                  <w:pPr>
                    <w:jc w:val="center"/>
                    <w:rPr>
                      <w:b/>
                      <w:bCs/>
                      <w:iCs/>
                    </w:rPr>
                  </w:pPr>
                  <w:r>
                    <w:rPr>
                      <w:b/>
                      <w:bCs/>
                      <w:iCs/>
                    </w:rPr>
                    <w:t>65</w:t>
                  </w: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3726683" w14:textId="77777777" w:rsidR="00BE3647" w:rsidRDefault="00BE3647" w:rsidP="00847AE5">
                  <w:pPr>
                    <w:jc w:val="center"/>
                    <w:rPr>
                      <w:b/>
                      <w:bCs/>
                      <w:iCs/>
                    </w:rPr>
                  </w:pPr>
                  <w:r>
                    <w:rPr>
                      <w:b/>
                      <w:bCs/>
                      <w:iCs/>
                    </w:rPr>
                    <w:t>46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6D3B078" w14:textId="77777777" w:rsidR="00BE3647" w:rsidRDefault="00BE3647" w:rsidP="00847AE5">
                  <w:pPr>
                    <w:jc w:val="center"/>
                    <w:rPr>
                      <w:b/>
                      <w:bCs/>
                      <w:iCs/>
                    </w:rPr>
                  </w:pPr>
                  <w:r>
                    <w:rPr>
                      <w:b/>
                      <w:bCs/>
                      <w:iCs/>
                    </w:rPr>
                    <w:t>58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225AF42" w14:textId="77777777" w:rsidR="00BE3647" w:rsidRDefault="00BE3647" w:rsidP="00847AE5">
                  <w:pPr>
                    <w:jc w:val="center"/>
                    <w:rPr>
                      <w:b/>
                      <w:bCs/>
                      <w:iCs/>
                    </w:rPr>
                  </w:pPr>
                  <w:r>
                    <w:rPr>
                      <w:b/>
                      <w:bCs/>
                      <w:iCs/>
                    </w:rPr>
                    <w:t>56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C12B46" w14:textId="77777777" w:rsidR="00BE3647" w:rsidRDefault="00BE3647" w:rsidP="00847AE5">
                  <w:pPr>
                    <w:jc w:val="center"/>
                    <w:rPr>
                      <w:b/>
                      <w:bCs/>
                      <w:iCs/>
                    </w:rPr>
                  </w:pPr>
                  <w:r>
                    <w:rPr>
                      <w:b/>
                      <w:bCs/>
                      <w:iCs/>
                    </w:rPr>
                    <w:t>51</w:t>
                  </w:r>
                </w:p>
              </w:tc>
            </w:tr>
          </w:tbl>
          <w:p w14:paraId="08D615ED" w14:textId="77777777" w:rsidR="00BE3647" w:rsidRPr="00893108" w:rsidRDefault="00BE3647" w:rsidP="00BE364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530" w:type="dxa"/>
          </w:tcPr>
          <w:p w14:paraId="1813D2F5" w14:textId="77777777" w:rsidR="00BE3647" w:rsidRPr="00346235" w:rsidRDefault="00BE3647" w:rsidP="00847AE5">
            <w:pPr>
              <w:ind w:left="360"/>
              <w:jc w:val="center"/>
              <w:rPr>
                <w:b/>
                <w:sz w:val="24"/>
                <w:szCs w:val="24"/>
              </w:rPr>
            </w:pPr>
            <w:r w:rsidRPr="00346235">
              <w:rPr>
                <w:b/>
                <w:sz w:val="24"/>
                <w:szCs w:val="24"/>
              </w:rPr>
              <w:lastRenderedPageBreak/>
              <w:t>5</w:t>
            </w:r>
          </w:p>
          <w:p w14:paraId="4B90BAC6" w14:textId="77777777" w:rsidR="00BE3647" w:rsidRPr="00346235" w:rsidRDefault="00BE3647" w:rsidP="00847AE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74005E86" w14:textId="77777777" w:rsidR="006F6A55" w:rsidRDefault="00BE3647"/>
    <w:sectPr w:rsidR="006F6A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872AA"/>
    <w:multiLevelType w:val="hybridMultilevel"/>
    <w:tmpl w:val="C27E06D0"/>
    <w:lvl w:ilvl="0" w:tplc="CA64184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7446F"/>
    <w:multiLevelType w:val="multilevel"/>
    <w:tmpl w:val="2AEAE264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3"/>
      <w:numFmt w:val="decimal"/>
      <w:isLgl/>
      <w:lvlText w:val="%1.%2.%3.%4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811234A"/>
    <w:multiLevelType w:val="hybridMultilevel"/>
    <w:tmpl w:val="9F805880"/>
    <w:lvl w:ilvl="0" w:tplc="B5180BE8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BB4066"/>
    <w:multiLevelType w:val="hybridMultilevel"/>
    <w:tmpl w:val="878A2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311"/>
    <w:rsid w:val="00636311"/>
    <w:rsid w:val="00BE3647"/>
    <w:rsid w:val="00C361F9"/>
    <w:rsid w:val="00D1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61BF9"/>
  <w15:chartTrackingRefBased/>
  <w15:docId w15:val="{CA7F1459-6C84-4A37-8D47-EC7B4EB34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647"/>
    <w:pPr>
      <w:spacing w:after="0" w:line="240" w:lineRule="auto"/>
    </w:pPr>
    <w:rPr>
      <w:rFonts w:ascii="Times New Roman" w:eastAsia="Times New Roman" w:hAnsi="Times New Roman" w:cs="Times New Roman"/>
      <w:lang w:val="en-US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3647"/>
    <w:pPr>
      <w:spacing w:after="200" w:line="276" w:lineRule="auto"/>
      <w:ind w:left="720"/>
      <w:contextualSpacing/>
    </w:pPr>
    <w:rPr>
      <w:rFonts w:ascii="Calibri" w:eastAsia="Calibri" w:hAnsi="Calibri"/>
      <w:lang w:bidi="ar-SA"/>
    </w:rPr>
  </w:style>
  <w:style w:type="table" w:styleId="TableGrid">
    <w:name w:val="Table Grid"/>
    <w:basedOn w:val="TableNormal"/>
    <w:uiPriority w:val="59"/>
    <w:rsid w:val="00BE3647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2789</Characters>
  <Application>Microsoft Office Word</Application>
  <DocSecurity>0</DocSecurity>
  <Lines>23</Lines>
  <Paragraphs>6</Paragraphs>
  <ScaleCrop>false</ScaleCrop>
  <Company/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Sanjay Kumar Soni</dc:creator>
  <cp:keywords/>
  <dc:description/>
  <cp:lastModifiedBy>Sanjay Kumar Soni</cp:lastModifiedBy>
  <cp:revision>2</cp:revision>
  <dcterms:created xsi:type="dcterms:W3CDTF">2022-12-28T11:14:00Z</dcterms:created>
  <dcterms:modified xsi:type="dcterms:W3CDTF">2022-12-28T11:15:00Z</dcterms:modified>
</cp:coreProperties>
</file>